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将杭埠镇与城关镇一体化规划、建设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第一代表团：陈丽华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近年来，在县委县政府“服务合肥、发展舒城、等高对接、全面融入”定位引领下，杭埠坚持东向发展，积极融入合肥都市圈，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实现工业总产值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亿元，财政收入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现有入园企业2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60多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家，其中规模以上工业企业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家，超亿元产值企业2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但是，杭埠镇集镇规划、建设与管理严重滞后，投入资金不足，与经济社会发展和杭埠形象不匹配。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杭埠镇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是全国改革发展试点镇、全省扩权强镇试点镇、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杭埠园区是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省级经济开发区，已进入国家级开发区培育期。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更</w:t>
      </w:r>
      <w:r>
        <w:rPr>
          <w:rFonts w:hint="eastAsia" w:ascii="仿宋_GB2312" w:hAnsi="仿宋_GB2312" w:cs="仿宋_GB2312"/>
          <w:lang w:eastAsia="zh-CN"/>
        </w:rPr>
        <w:t>是位列全国千强镇第</w:t>
      </w:r>
      <w:r>
        <w:rPr>
          <w:rFonts w:hint="eastAsia" w:ascii="仿宋_GB2312" w:hAnsi="仿宋_GB2312" w:cs="仿宋_GB2312"/>
          <w:lang w:val="en-US" w:eastAsia="zh-CN"/>
        </w:rPr>
        <w:t>181名，全国中部百强镇第65名，但杭埠</w:t>
      </w:r>
      <w:r>
        <w:rPr>
          <w:rFonts w:hint="eastAsia" w:ascii="仿宋_GB2312" w:hAnsi="仿宋_GB2312" w:cs="仿宋_GB2312"/>
          <w:lang w:eastAsia="zh-CN"/>
        </w:rPr>
        <w:t>街道雨污未分流，停车场（位）紧缺，绿化、亮化不够，投入资金不足等问题仍然明显。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</w:rPr>
        <w:t>为此建议：</w:t>
      </w:r>
      <w:r>
        <w:rPr>
          <w:rFonts w:hint="eastAsia" w:ascii="仿宋_GB2312" w:hAnsi="仿宋_GB2312" w:cs="仿宋_GB2312"/>
          <w:lang w:eastAsia="zh-CN"/>
        </w:rPr>
        <w:t>加大资金投入，</w:t>
      </w:r>
      <w:r>
        <w:rPr>
          <w:rFonts w:hint="eastAsia" w:ascii="仿宋_GB2312" w:hAnsi="仿宋_GB2312" w:cs="仿宋_GB2312"/>
        </w:rPr>
        <w:t>将杭埠镇与城关镇一体化规划、建设和管理。如市政建设与管理等，</w:t>
      </w:r>
      <w:r>
        <w:rPr>
          <w:rFonts w:hint="eastAsia" w:ascii="仿宋_GB2312" w:hAnsi="仿宋_GB2312" w:cs="仿宋_GB2312"/>
          <w:lang w:eastAsia="zh-CN"/>
        </w:rPr>
        <w:t>应</w:t>
      </w:r>
      <w:r>
        <w:rPr>
          <w:rFonts w:hint="eastAsia" w:ascii="仿宋_GB2312" w:hAnsi="仿宋_GB2312" w:cs="仿宋_GB2312"/>
        </w:rPr>
        <w:t>同</w:t>
      </w:r>
      <w:r>
        <w:rPr>
          <w:rFonts w:hint="eastAsia" w:ascii="仿宋_GB2312" w:hAnsi="仿宋_GB2312" w:cs="仿宋_GB2312"/>
          <w:lang w:eastAsia="zh-CN"/>
        </w:rPr>
        <w:t>城关镇</w:t>
      </w:r>
      <w:r>
        <w:rPr>
          <w:rFonts w:hint="eastAsia" w:ascii="仿宋_GB2312" w:hAnsi="仿宋_GB2312" w:cs="仿宋_GB2312"/>
        </w:rPr>
        <w:t>一水平</w:t>
      </w:r>
      <w:r>
        <w:rPr>
          <w:rFonts w:hint="eastAsia" w:ascii="仿宋_GB2312" w:hAnsi="仿宋_GB2312" w:cs="仿宋_GB2312"/>
          <w:lang w:eastAsia="zh-CN"/>
        </w:rPr>
        <w:t>，以提升杭埠镇和舒城县形象</w:t>
      </w:r>
      <w:r>
        <w:rPr>
          <w:rFonts w:hint="eastAsia" w:ascii="仿宋_GB2312" w:hAnsi="仿宋_GB2312" w:cs="仿宋_GB2312"/>
        </w:rPr>
        <w:t>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72935D3"/>
    <w:rsid w:val="33215604"/>
    <w:rsid w:val="3A6A0CCC"/>
    <w:rsid w:val="41525E76"/>
    <w:rsid w:val="4F0B47E9"/>
    <w:rsid w:val="542D5EC3"/>
    <w:rsid w:val="54D40CFF"/>
    <w:rsid w:val="65C73464"/>
    <w:rsid w:val="6C416973"/>
    <w:rsid w:val="6E080543"/>
    <w:rsid w:val="79F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BEE0743421A845EF9A886ED46F2F0CCE</vt:lpwstr>
  </property>
</Properties>
</file>