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关于加宽百神庙镇杭南桥的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第34号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第一代表团：宋帮仓代表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架好群众与政府之间联系桥梁，让基层社情民意与政府政策措施顺畅地上传下达。为进一步推动惠民政策落实落地，解决群众的天天有感的关键小事。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杭南桥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位于百神庙镇千百路杭南中学门口，该桥建于七、八十年代，由当地政府土法上马，因陋就简，现属于危桥。由于来往车辆较多，车辆无法错车，老桥面宽仅4米，安全设施不完善，严重影响交通安全。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为此建议：为保证群众和学生出行安全，进一步完善交通安全体制，群众强烈要求重新修建12米宽30米长桥一座，缓解交通压力。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DFC123E"/>
    <w:rsid w:val="17063E64"/>
    <w:rsid w:val="1E6137D0"/>
    <w:rsid w:val="32D203EC"/>
    <w:rsid w:val="3A6A0CCC"/>
    <w:rsid w:val="4F0B47E9"/>
    <w:rsid w:val="542D5EC3"/>
    <w:rsid w:val="54D40CFF"/>
    <w:rsid w:val="6E080543"/>
    <w:rsid w:val="74C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2022-01-29T01:44:14Z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76AED4088846484C99E59D94A7E35F62</vt:lpwstr>
  </property>
</Properties>
</file>