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关于做好乡村振兴产业和重点工程征迁配套安置用地规划的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sz w:val="32"/>
          <w:szCs w:val="32"/>
          <w:lang w:val="en-US" w:eastAsia="zh-CN"/>
        </w:rPr>
        <w:t>第42号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第三代表团：许令军代表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乡村振兴是中国特色社会主义进入新时代后“三农”工作的重大战略部署, 是建设社会主义现代化强国的重大任务。在乡村振兴总体目标中, 产业兴旺是重点与基础。重点工程拆迁安置和配套建设，是确保发展和稳定的基础。土地作为社会生产的基本要素, 在实现产业兴旺目标和做好稳妥安置中起着关键性的支撑作用。受规划影响，发展、建设等用地不得占用永久基本农田、生态保护红线、城镇开发边界线的基本要求，乡镇在推进乡村振兴战略和重点工程拆迁安置中存在用地困难现状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主要表现在以下两个方面。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关于乡村振兴产业方面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就我乡而言，近年来，随着乡村振兴战略推进，以农业农村资源为依托的新业态逐步发展，产业融合持续深入，先后引进软枣奇异霉、薄壳山核桃等项目，产后加工、冷藏、流通、贸易、营销等各环节的完整产业链条，需要建设用地予以保障。比如：在响井村、石岗村选址冷库及加工项目时,受土地总体规划和村庄规划影响，难以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关于重点工程征迁方面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近年来，我乡先实施了国道237升级改造、“三线三边”环境整治、“合枞高速”和土地整治项目，拆迁安置1500多户，征地892亩。受规划影响，截止目前，仍有50多户未得到妥善安置。另外，即将实施的“宣商高速”途径我乡，初步统计涉及拆迁安置100多户、征地677亩，迁坟310冢。做好重点工程拆迁安置和配套工程，同样也需要建设用地支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  <w:t>我乡耕地约6200公顷，其中基本农田保护率达93%，在划定“宣商高速”占补平衡中，我乡还承担了其他乡镇的划定任务，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乡村振兴产业发展和重点工程拆迁安置可用地空间不大。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/>
        </w:rPr>
        <w:t>为此，建议如下。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  <w:t>在划定基本农田保护区时，加大对承担重点工程建设任务乡镇的调剂力度，适度降低基本农田划定比例。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  <w:t>规划留白和建设用地规模预留。新一轮编制乡镇国土空间规划和村庄规划，预留一定规模的建设用地，用于新产业新业态、乡村文旅设施、农村公共公益设施、村民住宅及其他一二三产业融合发展等项目。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  <w:t>鼓励农村村民在本集体经济组织内部依法依规转让宅基地，以县出台放弃安置奖励政策，鼓励拆迁户进城落户，农村村民自愿有偿退出宅基地，缓解安置压力。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</w:rPr>
        <w:t>审批上从速，建议有关部门在以后的征地拆迁工作中，尽量做到将征地工作和预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留、安置用地的审批程序同步进行，以加快工程的进度和拆迁后各项复建工作的顺利开展，避免未批先建和拆后长期得不到安置现象发生。</w:t>
      </w:r>
    </w:p>
    <w:bookmarkEnd w:id="0"/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53545FE"/>
    <w:rsid w:val="292F0FB5"/>
    <w:rsid w:val="4F0B47E9"/>
    <w:rsid w:val="6E080543"/>
    <w:rsid w:val="6F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5DA0BD2B65C14AC5B6E5F0E916AC7541</vt:lpwstr>
  </property>
</Properties>
</file>