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tabs>
          <w:tab w:val="left" w:pos="1264"/>
        </w:tabs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 关于县十八届人大一次会议第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44"/>
          <w:szCs w:val="44"/>
        </w:rPr>
        <w:t>号</w:t>
      </w:r>
    </w:p>
    <w:p>
      <w:pPr>
        <w:tabs>
          <w:tab w:val="left" w:pos="1264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代表建议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办理情况</w:t>
      </w:r>
      <w:r>
        <w:rPr>
          <w:rFonts w:hint="eastAsia" w:ascii="方正小标宋简体" w:eastAsia="方正小标宋简体"/>
          <w:bCs/>
          <w:sz w:val="44"/>
          <w:szCs w:val="44"/>
        </w:rPr>
        <w:t>的函</w:t>
      </w:r>
    </w:p>
    <w:p>
      <w:pPr>
        <w:spacing w:line="56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方中、魏建华、宋卓飞、袁加能、华新和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张进、李春敏、徐家稳、朱露、黄光云、林绪胜、王舒东代表：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提出的《关于发挥财政职能，支持企业发展的建议》收悉，现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将办理情况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全县始终坚持“工业强县”战略不放松，对工业经济发展的支持力度一直很大，也招大引强了很多优质企业落户舒城，主导产业也由过去的传统产业向新能源、电子信息、高端装备制造等进行转变，随之而来的就是政策、措施的转变，其实发展政策和奖补政策都是带有导向性的，都是在鼓励扶持企业发展，引导龙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企业做大做强，引导中小企业走专精特新之路，引导传统产业转型升级，推动企业进行设备更新及技术升级。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一、出台各类政策助推中小企业发展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贯彻落实省委“一改两为五做到”要求，认真研读省、市制造业“4116”行动计划及市场主体体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提质</w:t>
      </w:r>
      <w:r>
        <w:rPr>
          <w:rFonts w:hint="eastAsia" w:ascii="仿宋_GB2312" w:hAnsi="仿宋_GB2312" w:eastAsia="仿宋_GB2312" w:cs="仿宋_GB2312"/>
          <w:sz w:val="32"/>
          <w:szCs w:val="32"/>
        </w:rPr>
        <w:t>扩量增效相关政策文件，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出台《关于2022年工业和民营经济发展的意见》、</w:t>
      </w:r>
      <w:r>
        <w:rPr>
          <w:rFonts w:hint="eastAsia" w:ascii="仿宋" w:hAnsi="仿宋" w:eastAsia="仿宋"/>
          <w:sz w:val="32"/>
          <w:szCs w:val="32"/>
        </w:rPr>
        <w:t>《舒城县企业上市挂牌奖励奖补办法》、《舒城县企业上市挂牌雁阵计划》</w:t>
      </w:r>
      <w:r>
        <w:rPr>
          <w:rFonts w:hint="eastAsia" w:ascii="仿宋" w:hAnsi="仿宋" w:eastAsia="仿宋"/>
          <w:sz w:val="32"/>
          <w:szCs w:val="32"/>
          <w:lang w:eastAsia="zh-CN"/>
        </w:rPr>
        <w:t>等文件，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支持鼓励工业和民营经济发展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贯彻落实“疫情要防住、经济要稳住、发展要安全”的意见及扎实稳住经济一揽子政策，根据省、市工作部署及责任清单，梳理出贯彻落实措施及意见；组织申报兑现各级奖补政策，帮助企业用好用足政策；协调交通运输等部门对16家“白名单”企业办理全国交通通行证，确保重点企业、重要产业链供应链企业运输通畅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高效统筹疫情防控和经济发展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逐一细化落实举措，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将惠企暖企稳企助企政策进一步落到实处。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积极争取各级奖补资金。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2022年县经信局牵头申报兑现各级奖补资金9772.39万元，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惠及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160多</w:t>
      </w:r>
      <w:r>
        <w:rPr>
          <w:rFonts w:hint="eastAsia" w:ascii="仿宋_GB2312" w:hAnsi="仿宋_GB2312" w:eastAsia="仿宋_GB2312" w:cs="仿宋_GB2312"/>
          <w:sz w:val="32"/>
          <w:szCs w:val="32"/>
        </w:rPr>
        <w:t>家企业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；金融中心积极为县内符合条件企业争取“做好企业融资服务”政策补助，目前已申报企业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30家，争取贴息350余万元；帮助企业减轻因疫情影响带来的种种压力。稳定财政扶持中小企业发展的体制机制，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县财政在收支压力持续加大的情况下，对企业支持力度不减，年初预算安排中小企业发展专项资金5200万元。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二、推进平台建设，解决融资担保难题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成立便民融资服务专班，开展“五进”行动，按周调度，截止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7月末，收集企业融资需求247个，已解决182个，解决融资需求5.75亿元。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出台《关于印发金融助力打赢防疫抗疫遭遇战支持企业纾困若干措施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等金融扶持政策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》，聚焦支持受困市场主体渡过难关，</w:t>
      </w:r>
      <w:r>
        <w:rPr>
          <w:rFonts w:hint="eastAsia" w:ascii="仿宋" w:hAnsi="仿宋" w:eastAsia="仿宋"/>
          <w:sz w:val="32"/>
          <w:szCs w:val="32"/>
          <w:lang w:eastAsia="zh-CN"/>
        </w:rPr>
        <w:t>加大了信贷资金支持力度，对符合条件的存量贷款“应延尽延”、新增贷款“能贷尽贷”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各银行业金融机构积极运用展期贷款和无还本续贷等方式，帮助资金周转困难的企业渡过难关，截止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月末，共发放展期152笔、2.54亿元，无还本续贷540笔、16.85亿元；持续扩大税融通产品受益面，已新发放3.2亿元受惠企业341家。6月末，政府性小额贷款公司金龙小贷共为县内130家企业提供过桥资金12.3亿元，对当天贷款当天归还的企业免收费用；金龙担保公司在保余额17.1亿元，在保企业160户，在风险可控的前提下，对需续保的企业应续尽续，年化担保费率降至1%；各商业银行主动为实体经济减费让利，累计减免利息3696万元，减免各类费用124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三、提供精准服务，培育专精特新发展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立舒城县中小企业服务中心，全拨事业单位，为中小微企业提供精准服务、精准指导，加大资源整合，利用社会化服务平台和专业服务机构，对获得省级示范服务平台的给予一次性10万元奖补。对小微企业担保费率不高于1%的担保业务给予降费奖补，进一步减轻专精特新企业融资成本，对“专精特新”企业的担保业务实执行0.6%的担保费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最后衷心感谢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们对我县中小企业发展的支持和关心，祝您工作顺利！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办复类别：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联系单位：舒城县经信局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联系电话：0564-8621239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月4日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ZDE5ZWFlMGY5NDE1NTc1OWU1OTk5OThlY2Q3Y2YifQ=="/>
  </w:docVars>
  <w:rsids>
    <w:rsidRoot w:val="00882264"/>
    <w:rsid w:val="001742D0"/>
    <w:rsid w:val="00410F8E"/>
    <w:rsid w:val="00882264"/>
    <w:rsid w:val="0F092880"/>
    <w:rsid w:val="10031691"/>
    <w:rsid w:val="10FF3936"/>
    <w:rsid w:val="2C92640B"/>
    <w:rsid w:val="3FFB37BC"/>
    <w:rsid w:val="636D70C7"/>
    <w:rsid w:val="64F367FE"/>
    <w:rsid w:val="6C185246"/>
    <w:rsid w:val="737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1418</Words>
  <Characters>1499</Characters>
  <Lines>3</Lines>
  <Paragraphs>1</Paragraphs>
  <TotalTime>4</TotalTime>
  <ScaleCrop>false</ScaleCrop>
  <LinksUpToDate>false</LinksUpToDate>
  <CharactersWithSpaces>1501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2022-04-27T16:35:00Z</dcterms:created>
  <dc:creator>董 伟</dc:creator>
  <cp:lastModifiedBy>administrator</cp:lastModifiedBy>
  <cp:lastPrinted>2022-08-08T09:33:00Z</cp:lastPrinted>
  <dcterms:modified xsi:type="dcterms:W3CDTF">2022-08-12T16:17:19Z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E3B0A53FE3344883B772436DF4B05C37</vt:lpwstr>
  </property>
</Properties>
</file>