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桃溪镇曙光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小区开通天然气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李结文等9名代表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省道拓宽、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国道以及和襄高速的修建能够有效解决群众出行难的问题，但是因这些项目的修建而安置的小区配套设施还未能够很好完善。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因天然气管网只铺设到开发区恒宏大酒店，我镇境内曙光、仓墩和白鱼等村，因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国道、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省道拓宽以及襄高速修建而拆迁安置的小区，天然气主管网至今未铺设，约有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户住户，群众多次打报告要求开通天然气。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年将天然气管网铺设到桃溪镇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省道及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国道沿线的上述小区，方便群众生活。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000000"/>
    <w:rsid w:val="03FC2E16"/>
    <w:rsid w:val="0B020CB7"/>
    <w:rsid w:val="4B1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259</Characters>
  <Paragraphs>12</Paragraphs>
  <TotalTime>4</TotalTime>
  <ScaleCrop>false</ScaleCrop>
  <LinksUpToDate>false</LinksUpToDate>
  <CharactersWithSpaces>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2023-12-08T02:19:00Z</dcterms:created>
  <dc:creator>Administrator</dc:creator>
  <cp:lastModifiedBy>天天向上</cp:lastModifiedBy>
  <dcterms:modified xsi:type="dcterms:W3CDTF">2024-01-25T00:39:17Z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2151F7ACED1C408FB6DF774477B7666E_13</vt:lpwstr>
  </property>
</Properties>
</file>