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议事原案第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关于严厉打击在杭埠河周围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非法采砂的议案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案由：</w:t>
      </w:r>
      <w:r>
        <w:rPr>
          <w:rFonts w:hint="eastAsia" w:ascii="仿宋_GB2312" w:hAnsi="仿宋_GB2312" w:eastAsia="仿宋_GB2312" w:cs="仿宋_GB2312"/>
          <w:sz w:val="32"/>
          <w:szCs w:val="32"/>
        </w:rPr>
        <w:t>杭埠河是龙河口水库泄洪的重要通道，也是舒城百万人饮水的重要水源地。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案据：</w:t>
      </w:r>
      <w:r>
        <w:rPr>
          <w:rFonts w:hint="eastAsia" w:ascii="仿宋_GB2312" w:hAnsi="仿宋_GB2312" w:eastAsia="仿宋_GB2312" w:cs="仿宋_GB2312"/>
          <w:sz w:val="32"/>
          <w:szCs w:val="32"/>
        </w:rPr>
        <w:t>近几年，由于执法不严，杭埠河无绪违章采砂日益严重，每次处理违章采砂只是罚款，导致采砂者变本加励，疯狂地掠夺开采。造成河床严重下降，比降增大，造成对河道两岸冲涮崩塌，加大了防汛抗灾的压力，给堤防带来了严重隐患，更为严重的是在杭埠河堤坝内耕地上非法采砂，毁坏耕地，破坏了环境，导致水源污染，损害广大人民的身心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对杭埠河内进行综合治理：①由政府统一规划，对河床进行采砂疏浚；②将两岸进行除险加固；③利用两岸结合旅游，建造旅游观光景观带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加大执法力度，严厉打击在违法采砂行为，杜绝在堤坝内采砂活动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严明责任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对于发现非法采砂，所在乡镇要及时报告，县职能部门要及时查处。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22D9F"/>
    <w:rsid w:val="14722D9F"/>
    <w:rsid w:val="456C4533"/>
    <w:rsid w:val="642E72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2017-02-22T00:50:00Z</dcterms:created>
  <dc:creator>Administrator</dc:creator>
  <cp:lastModifiedBy>Administrator</cp:lastModifiedBy>
  <dcterms:modified xsi:type="dcterms:W3CDTF">2017-02-22T01:25:40Z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